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C7B0F" w14:textId="77777777" w:rsidR="00EE7D9F" w:rsidRDefault="00EE7D9F" w:rsidP="00B17F37">
      <w:pPr>
        <w:pStyle w:val="NormalWeb"/>
        <w:shd w:val="clear" w:color="auto" w:fill="FFFFFF"/>
        <w:rPr>
          <w:rStyle w:val="Strong"/>
          <w:rFonts w:ascii="Century Gothic" w:hAnsi="Century Gothic" w:cs="Open Sans"/>
          <w:color w:val="000000"/>
          <w:sz w:val="22"/>
          <w:szCs w:val="22"/>
        </w:rPr>
      </w:pPr>
    </w:p>
    <w:p w14:paraId="71FBE7A1" w14:textId="77777777" w:rsidR="00EE7D9F" w:rsidRDefault="00EE7D9F" w:rsidP="00B17F37">
      <w:pPr>
        <w:pStyle w:val="NormalWeb"/>
        <w:shd w:val="clear" w:color="auto" w:fill="FFFFFF"/>
        <w:rPr>
          <w:rStyle w:val="Strong"/>
          <w:rFonts w:ascii="Century Gothic" w:hAnsi="Century Gothic" w:cs="Open Sans"/>
          <w:color w:val="000000"/>
          <w:sz w:val="22"/>
          <w:szCs w:val="22"/>
        </w:rPr>
      </w:pPr>
    </w:p>
    <w:p w14:paraId="47850D80" w14:textId="2C69CD76" w:rsidR="001C7FA2" w:rsidRPr="0047174E" w:rsidRDefault="001C7FA2" w:rsidP="00B17F37">
      <w:pPr>
        <w:pStyle w:val="NormalWeb"/>
        <w:shd w:val="clear" w:color="auto" w:fill="FFFFFF"/>
        <w:rPr>
          <w:rFonts w:ascii="Century Gothic" w:hAnsi="Century Gothic" w:cs="Open Sans"/>
          <w:color w:val="000000"/>
          <w:sz w:val="22"/>
          <w:szCs w:val="22"/>
        </w:rPr>
      </w:pPr>
      <w:r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Notice: </w:t>
      </w:r>
      <w:r w:rsidR="00683764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Section 8 </w:t>
      </w:r>
      <w:r w:rsidR="003D6321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>Housing Choice</w:t>
      </w:r>
      <w:r w:rsidR="00ED18C2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 </w:t>
      </w:r>
      <w:r w:rsidR="00683764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Voucher </w:t>
      </w:r>
      <w:r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>Utility Allowance Revision</w:t>
      </w:r>
      <w:r w:rsidR="00E854D2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>s</w:t>
      </w:r>
    </w:p>
    <w:p w14:paraId="0B3A9454" w14:textId="6A96D888" w:rsidR="003D6321" w:rsidRPr="0047174E" w:rsidRDefault="00014530" w:rsidP="00B17F37">
      <w:pPr>
        <w:pStyle w:val="NormalWeb"/>
        <w:shd w:val="clear" w:color="auto" w:fill="FFFFFF"/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</w:pPr>
      <w:r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>In accordance with</w:t>
      </w:r>
      <w:r w:rsidRP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>24</w:t>
      </w:r>
      <w:r w:rsidRP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 CFR 982.517</w:t>
      </w:r>
      <w:r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>,</w:t>
      </w:r>
      <w:r w:rsidRP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 </w:t>
      </w:r>
      <w:r w:rsidR="003D6321" w:rsidRPr="0047174E">
        <w:rPr>
          <w:rFonts w:ascii="Century Gothic" w:hAnsi="Century Gothic"/>
          <w:sz w:val="22"/>
          <w:szCs w:val="22"/>
        </w:rPr>
        <w:t>Lucas Metropolitan Housing (LMH) must review its schedule of utility allowances each year and must revise the schedule if there has been a change of 10 percent or more in any utility rate since the last time the allowance for that utility was revised</w:t>
      </w:r>
      <w:r w:rsidR="00683764" w:rsidRPr="0047174E">
        <w:rPr>
          <w:rFonts w:ascii="Century Gothic" w:hAnsi="Century Gothic"/>
          <w:sz w:val="22"/>
          <w:szCs w:val="22"/>
        </w:rPr>
        <w:t xml:space="preserve">. </w:t>
      </w:r>
    </w:p>
    <w:p w14:paraId="72419433" w14:textId="6E34C4E4" w:rsidR="00683764" w:rsidRPr="0047174E" w:rsidRDefault="00014530" w:rsidP="00683764">
      <w:pPr>
        <w:pStyle w:val="NormalWeb"/>
        <w:shd w:val="clear" w:color="auto" w:fill="FFFFFF"/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</w:pPr>
      <w:r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>A</w:t>
      </w:r>
      <w:r w:rsidR="00683764" w:rsidRP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 comparison of the utility providers’ rates and charges was conducted and indicated a greater than 10% change in utility rates and charges since the </w:t>
      </w:r>
      <w:r w:rsidR="00B1021D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2021 </w:t>
      </w:r>
      <w:r w:rsidR="00683764" w:rsidRP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study was conducted. Therefore, LMH is </w:t>
      </w:r>
      <w:r w:rsid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>revising</w:t>
      </w:r>
      <w:r w:rsidR="00683764" w:rsidRP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 </w:t>
      </w:r>
      <w:r w:rsid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its </w:t>
      </w:r>
      <w:r w:rsidR="00683764" w:rsidRPr="0047174E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>utility allowance</w:t>
      </w:r>
      <w:r w:rsidR="003C7A6D">
        <w:rPr>
          <w:rFonts w:ascii="Century Gothic" w:hAnsi="Century Gothic" w:cs="Open Sans"/>
          <w:color w:val="000000"/>
          <w:sz w:val="22"/>
          <w:szCs w:val="22"/>
          <w:shd w:val="clear" w:color="auto" w:fill="FFFFFF"/>
        </w:rPr>
        <w:t xml:space="preserve">s. </w:t>
      </w:r>
    </w:p>
    <w:p w14:paraId="328DCEA0" w14:textId="5BEEA100" w:rsidR="00E854D2" w:rsidRDefault="003C7A6D" w:rsidP="00683764">
      <w:pPr>
        <w:pStyle w:val="NormalWeb"/>
        <w:shd w:val="clear" w:color="auto" w:fill="FFFFFF"/>
        <w:rPr>
          <w:rFonts w:ascii="Century Gothic" w:hAnsi="Century Gothic" w:cs="Open Sans"/>
          <w:color w:val="000000"/>
          <w:sz w:val="22"/>
          <w:szCs w:val="22"/>
        </w:rPr>
      </w:pPr>
      <w:r>
        <w:rPr>
          <w:rFonts w:ascii="Century Gothic" w:hAnsi="Century Gothic" w:cs="Open Sans"/>
          <w:color w:val="000000"/>
          <w:sz w:val="22"/>
          <w:szCs w:val="22"/>
        </w:rPr>
        <w:t>You</w:t>
      </w:r>
      <w:r w:rsidR="00336536">
        <w:rPr>
          <w:rFonts w:ascii="Century Gothic" w:hAnsi="Century Gothic" w:cs="Open Sans"/>
          <w:color w:val="000000"/>
          <w:sz w:val="22"/>
          <w:szCs w:val="22"/>
        </w:rPr>
        <w:t xml:space="preserve"> may</w:t>
      </w:r>
      <w:r w:rsidR="001C7FA2" w:rsidRPr="0047174E">
        <w:rPr>
          <w:rFonts w:ascii="Century Gothic" w:hAnsi="Century Gothic" w:cs="Open Sans"/>
          <w:color w:val="000000"/>
          <w:sz w:val="22"/>
          <w:szCs w:val="22"/>
        </w:rPr>
        <w:t xml:space="preserve"> review the utility allowance</w:t>
      </w:r>
      <w:r w:rsidR="00683764" w:rsidRPr="0047174E">
        <w:rPr>
          <w:rFonts w:ascii="Century Gothic" w:hAnsi="Century Gothic" w:cs="Open Sans"/>
          <w:color w:val="000000"/>
          <w:sz w:val="22"/>
          <w:szCs w:val="22"/>
        </w:rPr>
        <w:t xml:space="preserve"> revisions</w:t>
      </w:r>
      <w:r w:rsidR="000A1C7C" w:rsidRPr="0047174E">
        <w:rPr>
          <w:rFonts w:ascii="Century Gothic" w:hAnsi="Century Gothic" w:cs="Open Sans"/>
          <w:color w:val="000000"/>
          <w:sz w:val="22"/>
          <w:szCs w:val="22"/>
        </w:rPr>
        <w:t xml:space="preserve">, </w:t>
      </w:r>
      <w:r w:rsidR="00B4032C" w:rsidRPr="0047174E">
        <w:rPr>
          <w:rFonts w:ascii="Century Gothic" w:hAnsi="Century Gothic" w:cs="Open Sans"/>
          <w:color w:val="000000"/>
          <w:sz w:val="22"/>
          <w:szCs w:val="22"/>
        </w:rPr>
        <w:t xml:space="preserve">which </w:t>
      </w:r>
      <w:r w:rsidR="002E66C9" w:rsidRPr="0047174E">
        <w:rPr>
          <w:rFonts w:ascii="Century Gothic" w:hAnsi="Century Gothic" w:cs="Open Sans"/>
          <w:color w:val="000000"/>
          <w:sz w:val="22"/>
          <w:szCs w:val="22"/>
        </w:rPr>
        <w:t>are</w:t>
      </w:r>
      <w:r w:rsidR="00B4032C" w:rsidRPr="0047174E">
        <w:rPr>
          <w:rFonts w:ascii="Century Gothic" w:hAnsi="Century Gothic" w:cs="Open Sans"/>
          <w:color w:val="000000"/>
          <w:sz w:val="22"/>
          <w:szCs w:val="22"/>
        </w:rPr>
        <w:t xml:space="preserve"> available on </w:t>
      </w:r>
      <w:r>
        <w:rPr>
          <w:rFonts w:ascii="Century Gothic" w:hAnsi="Century Gothic" w:cs="Open Sans"/>
          <w:color w:val="000000"/>
          <w:sz w:val="22"/>
          <w:szCs w:val="22"/>
        </w:rPr>
        <w:t>LMH’s</w:t>
      </w:r>
      <w:r w:rsidR="00B4032C" w:rsidRPr="0047174E">
        <w:rPr>
          <w:rFonts w:ascii="Century Gothic" w:hAnsi="Century Gothic" w:cs="Open Sans"/>
          <w:color w:val="000000"/>
          <w:sz w:val="22"/>
          <w:szCs w:val="22"/>
        </w:rPr>
        <w:t xml:space="preserve"> website</w:t>
      </w:r>
      <w:r w:rsidR="00EE7D9F">
        <w:rPr>
          <w:rFonts w:ascii="Century Gothic" w:hAnsi="Century Gothic" w:cs="Open Sans"/>
          <w:color w:val="000000"/>
          <w:sz w:val="22"/>
          <w:szCs w:val="22"/>
        </w:rPr>
        <w:t xml:space="preserve"> </w:t>
      </w:r>
      <w:hyperlink r:id="rId4" w:history="1">
        <w:r w:rsidR="00EE7D9F" w:rsidRPr="00766677">
          <w:rPr>
            <w:rStyle w:val="Hyperlink"/>
            <w:rFonts w:ascii="Century Gothic" w:hAnsi="Century Gothic"/>
            <w:sz w:val="22"/>
            <w:szCs w:val="22"/>
          </w:rPr>
          <w:t>https://bit.ly/3T12LzU</w:t>
        </w:r>
      </w:hyperlink>
      <w:r w:rsidR="005A3D7A">
        <w:rPr>
          <w:rFonts w:ascii="Century Gothic" w:hAnsi="Century Gothic"/>
          <w:sz w:val="22"/>
          <w:szCs w:val="22"/>
        </w:rPr>
        <w:t>;</w:t>
      </w:r>
      <w:r w:rsidR="00EE7D9F">
        <w:rPr>
          <w:rFonts w:ascii="Century Gothic" w:hAnsi="Century Gothic"/>
          <w:sz w:val="22"/>
          <w:szCs w:val="22"/>
        </w:rPr>
        <w:t xml:space="preserve"> </w:t>
      </w:r>
      <w:r w:rsidR="00B4032C" w:rsidRPr="0047174E">
        <w:rPr>
          <w:rFonts w:ascii="Century Gothic" w:hAnsi="Century Gothic" w:cs="Open Sans"/>
          <w:color w:val="000000"/>
          <w:sz w:val="22"/>
          <w:szCs w:val="22"/>
        </w:rPr>
        <w:t>at LMH’s Central Office at 435 Nebraska Avenue, Toledo, OH 43604</w:t>
      </w:r>
      <w:r w:rsidR="00683764" w:rsidRPr="0047174E">
        <w:rPr>
          <w:rFonts w:ascii="Century Gothic" w:hAnsi="Century Gothic" w:cs="Open Sans"/>
          <w:color w:val="000000"/>
          <w:sz w:val="22"/>
          <w:szCs w:val="22"/>
        </w:rPr>
        <w:t xml:space="preserve">; and at its Byrne Road office, 211 S. Byrne Road, Toledo, OH 43615. </w:t>
      </w:r>
      <w:r w:rsidR="001C7FA2" w:rsidRPr="0047174E">
        <w:rPr>
          <w:rFonts w:ascii="Century Gothic" w:hAnsi="Century Gothic" w:cs="Open Sans"/>
          <w:color w:val="000000"/>
          <w:sz w:val="22"/>
          <w:szCs w:val="22"/>
        </w:rPr>
        <w:t xml:space="preserve"> </w:t>
      </w:r>
    </w:p>
    <w:p w14:paraId="2502E750" w14:textId="7E78FD2B" w:rsidR="00336536" w:rsidRPr="0047174E" w:rsidRDefault="003C7A6D" w:rsidP="00683764">
      <w:pPr>
        <w:pStyle w:val="NormalWeb"/>
        <w:shd w:val="clear" w:color="auto" w:fill="FFFFFF"/>
        <w:rPr>
          <w:rFonts w:ascii="Century Gothic" w:hAnsi="Century Gothic" w:cs="Open Sans"/>
          <w:color w:val="000000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You</w:t>
      </w:r>
      <w:r w:rsidR="00336536" w:rsidRPr="001061D3">
        <w:rPr>
          <w:rFonts w:ascii="Century Gothic" w:hAnsi="Century Gothic"/>
          <w:sz w:val="22"/>
          <w:szCs w:val="22"/>
        </w:rPr>
        <w:t xml:space="preserve"> may submit written comments on the schedules</w:t>
      </w:r>
      <w:r>
        <w:rPr>
          <w:rFonts w:ascii="Century Gothic" w:hAnsi="Century Gothic"/>
          <w:sz w:val="22"/>
          <w:szCs w:val="22"/>
        </w:rPr>
        <w:t xml:space="preserve"> </w:t>
      </w:r>
      <w:r w:rsidR="00336536" w:rsidRPr="001061D3">
        <w:rPr>
          <w:rFonts w:ascii="Century Gothic" w:hAnsi="Century Gothic"/>
          <w:sz w:val="22"/>
          <w:szCs w:val="22"/>
        </w:rPr>
        <w:t>at any time, for consideration during the next revision cycle.</w:t>
      </w:r>
      <w:r w:rsidR="00336536">
        <w:rPr>
          <w:rFonts w:ascii="Century Gothic" w:hAnsi="Century Gothic"/>
          <w:sz w:val="22"/>
          <w:szCs w:val="22"/>
        </w:rPr>
        <w:t xml:space="preserve"> You may submit comments </w:t>
      </w:r>
      <w:r w:rsidR="00DE105F">
        <w:rPr>
          <w:rFonts w:ascii="Century Gothic" w:hAnsi="Century Gothic"/>
          <w:sz w:val="22"/>
          <w:szCs w:val="22"/>
        </w:rPr>
        <w:t>to Amy Gerber via email at</w:t>
      </w:r>
      <w:r w:rsidR="00336536">
        <w:rPr>
          <w:rFonts w:ascii="Century Gothic" w:hAnsi="Century Gothic"/>
          <w:sz w:val="22"/>
          <w:szCs w:val="22"/>
        </w:rPr>
        <w:t xml:space="preserve"> </w:t>
      </w:r>
      <w:hyperlink r:id="rId5" w:history="1">
        <w:r w:rsidR="00D072B2" w:rsidRPr="00445329">
          <w:rPr>
            <w:rStyle w:val="Hyperlink"/>
            <w:rFonts w:ascii="Century Gothic" w:hAnsi="Century Gothic"/>
            <w:sz w:val="22"/>
            <w:szCs w:val="22"/>
          </w:rPr>
          <w:t>agerber@lucasmha.org</w:t>
        </w:r>
      </w:hyperlink>
      <w:r w:rsidR="00DE105F">
        <w:rPr>
          <w:rFonts w:ascii="Century Gothic" w:hAnsi="Century Gothic"/>
          <w:sz w:val="22"/>
          <w:szCs w:val="22"/>
        </w:rPr>
        <w:t xml:space="preserve">. </w:t>
      </w:r>
    </w:p>
    <w:p w14:paraId="2C98BBE7" w14:textId="598EC8C0" w:rsidR="0047174E" w:rsidRPr="00A044A2" w:rsidRDefault="00B4032C" w:rsidP="00B17F37">
      <w:pPr>
        <w:pStyle w:val="NormalWeb"/>
        <w:shd w:val="clear" w:color="auto" w:fill="FFFFFF"/>
        <w:rPr>
          <w:rFonts w:ascii="Century Gothic" w:hAnsi="Century Gothic" w:cs="Open Sans"/>
          <w:color w:val="000000"/>
          <w:sz w:val="22"/>
          <w:szCs w:val="22"/>
          <w:u w:val="single"/>
        </w:rPr>
      </w:pPr>
      <w:r w:rsidRPr="00A044A2">
        <w:rPr>
          <w:rFonts w:ascii="Century Gothic" w:hAnsi="Century Gothic" w:cs="Open Sans"/>
          <w:b/>
          <w:bCs/>
          <w:sz w:val="22"/>
          <w:szCs w:val="22"/>
          <w:u w:val="single"/>
        </w:rPr>
        <w:t xml:space="preserve">Download the Proposed </w:t>
      </w:r>
      <w:r w:rsidR="0047174E" w:rsidRPr="00A044A2">
        <w:rPr>
          <w:rFonts w:ascii="Century Gothic" w:hAnsi="Century Gothic" w:cs="Open Sans"/>
          <w:b/>
          <w:bCs/>
          <w:sz w:val="22"/>
          <w:szCs w:val="22"/>
          <w:u w:val="single"/>
        </w:rPr>
        <w:t>Housing Choice Voucher</w:t>
      </w:r>
      <w:r w:rsidR="004B7167" w:rsidRPr="00A044A2">
        <w:rPr>
          <w:rFonts w:ascii="Century Gothic" w:hAnsi="Century Gothic" w:cs="Open Sans"/>
          <w:b/>
          <w:bCs/>
          <w:sz w:val="22"/>
          <w:szCs w:val="22"/>
          <w:u w:val="single"/>
        </w:rPr>
        <w:t xml:space="preserve"> </w:t>
      </w:r>
      <w:r w:rsidRPr="00A044A2">
        <w:rPr>
          <w:rFonts w:ascii="Century Gothic" w:hAnsi="Century Gothic" w:cs="Open Sans"/>
          <w:b/>
          <w:bCs/>
          <w:sz w:val="22"/>
          <w:szCs w:val="22"/>
          <w:u w:val="single"/>
        </w:rPr>
        <w:t xml:space="preserve">Utility Allowance </w:t>
      </w:r>
      <w:r w:rsidR="003C7A6D" w:rsidRPr="00A044A2">
        <w:rPr>
          <w:rFonts w:ascii="Century Gothic" w:hAnsi="Century Gothic" w:cs="Open Sans"/>
          <w:b/>
          <w:bCs/>
          <w:sz w:val="22"/>
          <w:szCs w:val="22"/>
          <w:u w:val="single"/>
        </w:rPr>
        <w:t>Schedules</w:t>
      </w:r>
      <w:r w:rsidR="001C3A18" w:rsidRPr="00A044A2">
        <w:rPr>
          <w:rStyle w:val="Hyperlink"/>
          <w:rFonts w:ascii="Century Gothic" w:hAnsi="Century Gothic" w:cs="Open Sans"/>
          <w:b/>
          <w:bCs/>
          <w:color w:val="000000"/>
          <w:sz w:val="22"/>
          <w:szCs w:val="22"/>
        </w:rPr>
        <w:t xml:space="preserve"> </w:t>
      </w:r>
    </w:p>
    <w:p w14:paraId="4F545172" w14:textId="6409AB6D" w:rsidR="0047174E" w:rsidRPr="00C4787A" w:rsidRDefault="0047174E" w:rsidP="00B17F37">
      <w:pPr>
        <w:pStyle w:val="NormalWeb"/>
        <w:shd w:val="clear" w:color="auto" w:fill="FFFFFF"/>
        <w:rPr>
          <w:rFonts w:ascii="Century Gothic" w:hAnsi="Century Gothic" w:cs="Open Sans"/>
          <w:i/>
          <w:iCs/>
          <w:color w:val="000000"/>
          <w:sz w:val="22"/>
          <w:szCs w:val="22"/>
        </w:rPr>
      </w:pPr>
      <w:r w:rsidRPr="00C4787A">
        <w:rPr>
          <w:rFonts w:ascii="Century Gothic" w:hAnsi="Century Gothic"/>
          <w:i/>
          <w:iCs/>
          <w:sz w:val="22"/>
          <w:szCs w:val="22"/>
        </w:rPr>
        <w:t>The Utility Allowance Schedules for Toledo, Sylvania, and Maumee, Ohio are applicable to Lucas, Wood, and Fulton counties.</w:t>
      </w:r>
    </w:p>
    <w:p w14:paraId="2A08C128" w14:textId="151E809E" w:rsidR="00683764" w:rsidRDefault="0047174E" w:rsidP="00B17F37">
      <w:pPr>
        <w:pStyle w:val="NormalWeb"/>
        <w:shd w:val="clear" w:color="auto" w:fill="FFFFFF"/>
        <w:rPr>
          <w:rFonts w:ascii="Century Gothic" w:hAnsi="Century Gothic"/>
          <w:sz w:val="22"/>
          <w:szCs w:val="22"/>
        </w:rPr>
      </w:pPr>
      <w:r w:rsidRPr="0047174E">
        <w:rPr>
          <w:rFonts w:ascii="Century Gothic" w:hAnsi="Century Gothic"/>
          <w:sz w:val="22"/>
          <w:szCs w:val="22"/>
        </w:rPr>
        <w:t>In accordance with 24 CFR 982.517(e), o</w:t>
      </w:r>
      <w:r w:rsidR="00683764" w:rsidRPr="0047174E">
        <w:rPr>
          <w:rFonts w:ascii="Century Gothic" w:hAnsi="Century Gothic"/>
          <w:sz w:val="22"/>
          <w:szCs w:val="22"/>
        </w:rPr>
        <w:t>n request from a family that includes a person with disabilities, the PHA must approve a utility allowance which is higher than the applicable amount on the utility allowance schedule if a higher utility allowance is needed as a reasonable accommodation in accordance with 24 CFR part 8 to make the program accessible to and usable by the family member with a disability.</w:t>
      </w:r>
    </w:p>
    <w:p w14:paraId="41C1078C" w14:textId="77777777" w:rsidR="00EE7D9F" w:rsidRDefault="00EE7D9F" w:rsidP="00B17F37">
      <w:pPr>
        <w:pStyle w:val="NormalWeb"/>
        <w:shd w:val="clear" w:color="auto" w:fill="FFFFFF"/>
        <w:rPr>
          <w:rFonts w:ascii="Century Gothic" w:hAnsi="Century Gothic"/>
          <w:sz w:val="22"/>
          <w:szCs w:val="22"/>
        </w:rPr>
      </w:pPr>
    </w:p>
    <w:p w14:paraId="19118B9D" w14:textId="790DEB1C" w:rsidR="001C7FA2" w:rsidRPr="0047174E" w:rsidRDefault="00EE7D9F" w:rsidP="00B17F37">
      <w:pPr>
        <w:pStyle w:val="NormalWeb"/>
        <w:shd w:val="clear" w:color="auto" w:fill="FFFFFF"/>
        <w:rPr>
          <w:rFonts w:ascii="Century Gothic" w:hAnsi="Century Gothic" w:cs="Open Sans"/>
          <w:color w:val="000000"/>
          <w:sz w:val="22"/>
          <w:szCs w:val="22"/>
        </w:rPr>
      </w:pPr>
      <w:r>
        <w:rPr>
          <w:rStyle w:val="Strong"/>
          <w:rFonts w:ascii="Century Gothic" w:hAnsi="Century Gothic" w:cs="Open Sans"/>
          <w:color w:val="000000"/>
          <w:sz w:val="22"/>
          <w:szCs w:val="22"/>
        </w:rPr>
        <w:t>P</w:t>
      </w:r>
      <w:r w:rsidR="00B31AEB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>roposed</w:t>
      </w:r>
      <w:r w:rsidR="00FC2CF3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 </w:t>
      </w:r>
      <w:r w:rsidR="009C0E02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>effective date for</w:t>
      </w:r>
      <w:r w:rsidR="00B31AEB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 revised</w:t>
      </w:r>
      <w:r w:rsidR="00FC2CF3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 utility allowances</w:t>
      </w:r>
      <w:r w:rsidR="00B31AEB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: </w:t>
      </w:r>
      <w:r w:rsidR="001C7FA2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>J</w:t>
      </w:r>
      <w:r w:rsidR="00FB61CA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 xml:space="preserve">anuary </w:t>
      </w:r>
      <w:r w:rsidR="001C7FA2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>1, 202</w:t>
      </w:r>
      <w:r w:rsidR="003E7421">
        <w:rPr>
          <w:rStyle w:val="Strong"/>
          <w:rFonts w:ascii="Century Gothic" w:hAnsi="Century Gothic" w:cs="Open Sans"/>
          <w:color w:val="000000"/>
          <w:sz w:val="22"/>
          <w:szCs w:val="22"/>
        </w:rPr>
        <w:t>3</w:t>
      </w:r>
      <w:r w:rsidR="001C7FA2" w:rsidRPr="0047174E">
        <w:rPr>
          <w:rStyle w:val="Strong"/>
          <w:rFonts w:ascii="Century Gothic" w:hAnsi="Century Gothic" w:cs="Open Sans"/>
          <w:color w:val="000000"/>
          <w:sz w:val="22"/>
          <w:szCs w:val="22"/>
        </w:rPr>
        <w:t>.</w:t>
      </w:r>
    </w:p>
    <w:p w14:paraId="2679D5F3" w14:textId="77777777" w:rsidR="001C7FA2" w:rsidRPr="0047174E" w:rsidRDefault="001C7FA2" w:rsidP="00B17F37"/>
    <w:sectPr w:rsidR="001C7FA2" w:rsidRPr="004717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FA2"/>
    <w:rsid w:val="00014530"/>
    <w:rsid w:val="00023445"/>
    <w:rsid w:val="00085C1E"/>
    <w:rsid w:val="000A1C7C"/>
    <w:rsid w:val="000B3CCB"/>
    <w:rsid w:val="001346A4"/>
    <w:rsid w:val="00184941"/>
    <w:rsid w:val="001B64D6"/>
    <w:rsid w:val="001C3A18"/>
    <w:rsid w:val="001C7FA2"/>
    <w:rsid w:val="002E66C9"/>
    <w:rsid w:val="00336536"/>
    <w:rsid w:val="00365C79"/>
    <w:rsid w:val="003C7A6D"/>
    <w:rsid w:val="003D3E2A"/>
    <w:rsid w:val="003D6321"/>
    <w:rsid w:val="003E7421"/>
    <w:rsid w:val="00422AFC"/>
    <w:rsid w:val="0047174E"/>
    <w:rsid w:val="004B3761"/>
    <w:rsid w:val="004B4EF6"/>
    <w:rsid w:val="004B7167"/>
    <w:rsid w:val="0059479D"/>
    <w:rsid w:val="005A3D7A"/>
    <w:rsid w:val="005C7D6A"/>
    <w:rsid w:val="00651561"/>
    <w:rsid w:val="00683764"/>
    <w:rsid w:val="00712EBF"/>
    <w:rsid w:val="007D3E00"/>
    <w:rsid w:val="00883CF3"/>
    <w:rsid w:val="00892496"/>
    <w:rsid w:val="008B6750"/>
    <w:rsid w:val="009C0E02"/>
    <w:rsid w:val="00A044A2"/>
    <w:rsid w:val="00A86F67"/>
    <w:rsid w:val="00B1021D"/>
    <w:rsid w:val="00B17F37"/>
    <w:rsid w:val="00B31AEB"/>
    <w:rsid w:val="00B4032C"/>
    <w:rsid w:val="00BF1B03"/>
    <w:rsid w:val="00C05EA6"/>
    <w:rsid w:val="00C33CDB"/>
    <w:rsid w:val="00C4787A"/>
    <w:rsid w:val="00CC3883"/>
    <w:rsid w:val="00D072B2"/>
    <w:rsid w:val="00DE105F"/>
    <w:rsid w:val="00DF5877"/>
    <w:rsid w:val="00E1559F"/>
    <w:rsid w:val="00E854D2"/>
    <w:rsid w:val="00ED18C2"/>
    <w:rsid w:val="00EE7D9F"/>
    <w:rsid w:val="00F27469"/>
    <w:rsid w:val="00F758F7"/>
    <w:rsid w:val="00F84AD6"/>
    <w:rsid w:val="00FB61CA"/>
    <w:rsid w:val="00FC2CF3"/>
    <w:rsid w:val="00FF5CC2"/>
    <w:rsid w:val="00FF7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BEC97"/>
  <w15:chartTrackingRefBased/>
  <w15:docId w15:val="{A11E6565-9F45-46E1-935B-8BA218C72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Theme="minorHAnsi" w:hAnsi="Century Gothic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C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C7FA2"/>
    <w:rPr>
      <w:b/>
      <w:bCs/>
    </w:rPr>
  </w:style>
  <w:style w:type="character" w:styleId="Hyperlink">
    <w:name w:val="Hyperlink"/>
    <w:basedOn w:val="DefaultParagraphFont"/>
    <w:uiPriority w:val="99"/>
    <w:unhideWhenUsed/>
    <w:rsid w:val="001C7FA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65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gerber@lucasmha.org" TargetMode="External"/><Relationship Id="rId4" Type="http://schemas.openxmlformats.org/officeDocument/2006/relationships/hyperlink" Target="https://bit.ly/3T12L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1670</Characters>
  <Application>Microsoft Office Word</Application>
  <DocSecurity>0</DocSecurity>
  <Lines>556</Lines>
  <Paragraphs>111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Zachary Hillyer</dc:creator>
  <cp:keywords/>
  <dc:description/>
  <cp:lastModifiedBy>Stacy Hoffmann</cp:lastModifiedBy>
  <cp:revision>3</cp:revision>
  <dcterms:created xsi:type="dcterms:W3CDTF">2022-10-05T21:09:00Z</dcterms:created>
  <dcterms:modified xsi:type="dcterms:W3CDTF">2022-10-06T12:41:00Z</dcterms:modified>
</cp:coreProperties>
</file>